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94E4D" w14:textId="77777777" w:rsidR="00EA7DF1" w:rsidRPr="00EA7DF1" w:rsidRDefault="00EA7DF1" w:rsidP="00EA7DF1">
      <w:pPr>
        <w:spacing w:after="0" w:line="240" w:lineRule="auto"/>
        <w:rPr>
          <w:rFonts w:ascii="Times New Roman" w:eastAsia="Times New Roman" w:hAnsi="Times New Roman" w:cs="Times New Roman"/>
          <w:sz w:val="24"/>
          <w:szCs w:val="24"/>
        </w:rPr>
      </w:pPr>
      <w:r w:rsidRPr="00EA7DF1">
        <w:rPr>
          <w:rFonts w:ascii="Times New Roman" w:eastAsia="Times New Roman" w:hAnsi="Times New Roman" w:cs="Times New Roman"/>
          <w:sz w:val="24"/>
          <w:szCs w:val="24"/>
        </w:rPr>
        <w:fldChar w:fldCharType="begin"/>
      </w:r>
      <w:r w:rsidRPr="00EA7DF1">
        <w:rPr>
          <w:rFonts w:ascii="Times New Roman" w:eastAsia="Times New Roman" w:hAnsi="Times New Roman" w:cs="Times New Roman"/>
          <w:sz w:val="24"/>
          <w:szCs w:val="24"/>
        </w:rPr>
        <w:instrText xml:space="preserve"> HYPERLINK "https://www.ncbi.nlm.nih.gov/pubmed/25500193" \o "Clinical neurophysiology : official journal of the International Federation of Clinical Neurophysiology." </w:instrText>
      </w:r>
      <w:r w:rsidRPr="00EA7DF1">
        <w:rPr>
          <w:rFonts w:ascii="Times New Roman" w:eastAsia="Times New Roman" w:hAnsi="Times New Roman" w:cs="Times New Roman"/>
          <w:sz w:val="24"/>
          <w:szCs w:val="24"/>
        </w:rPr>
        <w:fldChar w:fldCharType="separate"/>
      </w:r>
      <w:r w:rsidRPr="00EA7DF1">
        <w:rPr>
          <w:rFonts w:ascii="Times New Roman" w:eastAsia="Times New Roman" w:hAnsi="Times New Roman" w:cs="Times New Roman"/>
          <w:color w:val="0000FF"/>
          <w:sz w:val="24"/>
          <w:szCs w:val="24"/>
          <w:u w:val="single"/>
        </w:rPr>
        <w:t xml:space="preserve">Clin </w:t>
      </w:r>
      <w:proofErr w:type="spellStart"/>
      <w:r w:rsidRPr="00EA7DF1">
        <w:rPr>
          <w:rFonts w:ascii="Times New Roman" w:eastAsia="Times New Roman" w:hAnsi="Times New Roman" w:cs="Times New Roman"/>
          <w:color w:val="0000FF"/>
          <w:sz w:val="24"/>
          <w:szCs w:val="24"/>
          <w:u w:val="single"/>
        </w:rPr>
        <w:t>Neurophysiol</w:t>
      </w:r>
      <w:proofErr w:type="spellEnd"/>
      <w:r w:rsidRPr="00EA7DF1">
        <w:rPr>
          <w:rFonts w:ascii="Times New Roman" w:eastAsia="Times New Roman" w:hAnsi="Times New Roman" w:cs="Times New Roman"/>
          <w:color w:val="0000FF"/>
          <w:sz w:val="24"/>
          <w:szCs w:val="24"/>
          <w:u w:val="single"/>
        </w:rPr>
        <w:t>.</w:t>
      </w:r>
      <w:r w:rsidRPr="00EA7DF1">
        <w:rPr>
          <w:rFonts w:ascii="Times New Roman" w:eastAsia="Times New Roman" w:hAnsi="Times New Roman" w:cs="Times New Roman"/>
          <w:sz w:val="24"/>
          <w:szCs w:val="24"/>
        </w:rPr>
        <w:fldChar w:fldCharType="end"/>
      </w:r>
      <w:r w:rsidRPr="00EA7DF1">
        <w:rPr>
          <w:rFonts w:ascii="Times New Roman" w:eastAsia="Times New Roman" w:hAnsi="Times New Roman" w:cs="Times New Roman"/>
          <w:sz w:val="24"/>
          <w:szCs w:val="24"/>
        </w:rPr>
        <w:t xml:space="preserve"> 2015 Aug;126(8):1514-23. </w:t>
      </w:r>
      <w:proofErr w:type="spellStart"/>
      <w:r w:rsidRPr="00EA7DF1">
        <w:rPr>
          <w:rFonts w:ascii="Times New Roman" w:eastAsia="Times New Roman" w:hAnsi="Times New Roman" w:cs="Times New Roman"/>
          <w:sz w:val="24"/>
          <w:szCs w:val="24"/>
        </w:rPr>
        <w:t>doi</w:t>
      </w:r>
      <w:proofErr w:type="spellEnd"/>
      <w:r w:rsidRPr="00EA7DF1">
        <w:rPr>
          <w:rFonts w:ascii="Times New Roman" w:eastAsia="Times New Roman" w:hAnsi="Times New Roman" w:cs="Times New Roman"/>
          <w:sz w:val="24"/>
          <w:szCs w:val="24"/>
        </w:rPr>
        <w:t xml:space="preserve">: 10.1016/j.clinph.2014.10.215. </w:t>
      </w:r>
      <w:proofErr w:type="spellStart"/>
      <w:r w:rsidRPr="00EA7DF1">
        <w:rPr>
          <w:rFonts w:ascii="Times New Roman" w:eastAsia="Times New Roman" w:hAnsi="Times New Roman" w:cs="Times New Roman"/>
          <w:sz w:val="24"/>
          <w:szCs w:val="24"/>
        </w:rPr>
        <w:t>Epub</w:t>
      </w:r>
      <w:proofErr w:type="spellEnd"/>
      <w:r w:rsidRPr="00EA7DF1">
        <w:rPr>
          <w:rFonts w:ascii="Times New Roman" w:eastAsia="Times New Roman" w:hAnsi="Times New Roman" w:cs="Times New Roman"/>
          <w:sz w:val="24"/>
          <w:szCs w:val="24"/>
        </w:rPr>
        <w:t xml:space="preserve"> 2014 Nov 14.</w:t>
      </w:r>
    </w:p>
    <w:p w14:paraId="5EADBF21" w14:textId="77777777" w:rsidR="00EA7DF1" w:rsidRPr="00EA7DF1" w:rsidRDefault="00EA7DF1" w:rsidP="00EA7DF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A7DF1">
        <w:rPr>
          <w:rFonts w:ascii="Times New Roman" w:eastAsia="Times New Roman" w:hAnsi="Times New Roman" w:cs="Times New Roman"/>
          <w:b/>
          <w:bCs/>
          <w:kern w:val="36"/>
          <w:sz w:val="48"/>
          <w:szCs w:val="48"/>
        </w:rPr>
        <w:t>Early prediction of delayed cerebral ischemia in subarachnoid hemorrhage based on quantitative EEG: A prospective study in adults.</w:t>
      </w:r>
    </w:p>
    <w:p w14:paraId="4A8A490D" w14:textId="77777777" w:rsidR="00EA7DF1" w:rsidRPr="00EA7DF1" w:rsidRDefault="00EA7DF1" w:rsidP="00EA7DF1">
      <w:pPr>
        <w:spacing w:after="0" w:line="240" w:lineRule="auto"/>
        <w:rPr>
          <w:rFonts w:ascii="Times New Roman" w:eastAsia="Times New Roman" w:hAnsi="Times New Roman" w:cs="Times New Roman"/>
          <w:sz w:val="24"/>
          <w:szCs w:val="24"/>
        </w:rPr>
      </w:pPr>
      <w:hyperlink r:id="rId5" w:history="1">
        <w:r w:rsidRPr="00EA7DF1">
          <w:rPr>
            <w:rFonts w:ascii="Times New Roman" w:eastAsia="Times New Roman" w:hAnsi="Times New Roman" w:cs="Times New Roman"/>
            <w:color w:val="0000FF"/>
            <w:sz w:val="24"/>
            <w:szCs w:val="24"/>
            <w:u w:val="single"/>
          </w:rPr>
          <w:t>Gollwitzer S</w:t>
        </w:r>
      </w:hyperlink>
      <w:r w:rsidRPr="00EA7DF1">
        <w:rPr>
          <w:rFonts w:ascii="Times New Roman" w:eastAsia="Times New Roman" w:hAnsi="Times New Roman" w:cs="Times New Roman"/>
          <w:sz w:val="24"/>
          <w:szCs w:val="24"/>
          <w:vertAlign w:val="superscript"/>
        </w:rPr>
        <w:t>1</w:t>
      </w:r>
      <w:r w:rsidRPr="00EA7DF1">
        <w:rPr>
          <w:rFonts w:ascii="Times New Roman" w:eastAsia="Times New Roman" w:hAnsi="Times New Roman" w:cs="Times New Roman"/>
          <w:sz w:val="24"/>
          <w:szCs w:val="24"/>
        </w:rPr>
        <w:t xml:space="preserve">, </w:t>
      </w:r>
      <w:hyperlink r:id="rId6" w:history="1">
        <w:proofErr w:type="spellStart"/>
        <w:r w:rsidRPr="00EA7DF1">
          <w:rPr>
            <w:rFonts w:ascii="Times New Roman" w:eastAsia="Times New Roman" w:hAnsi="Times New Roman" w:cs="Times New Roman"/>
            <w:color w:val="0000FF"/>
            <w:sz w:val="24"/>
            <w:szCs w:val="24"/>
            <w:u w:val="single"/>
          </w:rPr>
          <w:t>Groemer</w:t>
        </w:r>
        <w:proofErr w:type="spellEnd"/>
        <w:r w:rsidRPr="00EA7DF1">
          <w:rPr>
            <w:rFonts w:ascii="Times New Roman" w:eastAsia="Times New Roman" w:hAnsi="Times New Roman" w:cs="Times New Roman"/>
            <w:color w:val="0000FF"/>
            <w:sz w:val="24"/>
            <w:szCs w:val="24"/>
            <w:u w:val="single"/>
          </w:rPr>
          <w:t xml:space="preserve"> T</w:t>
        </w:r>
      </w:hyperlink>
      <w:r w:rsidRPr="00EA7DF1">
        <w:rPr>
          <w:rFonts w:ascii="Times New Roman" w:eastAsia="Times New Roman" w:hAnsi="Times New Roman" w:cs="Times New Roman"/>
          <w:sz w:val="24"/>
          <w:szCs w:val="24"/>
          <w:vertAlign w:val="superscript"/>
        </w:rPr>
        <w:t>2</w:t>
      </w:r>
      <w:r w:rsidRPr="00EA7DF1">
        <w:rPr>
          <w:rFonts w:ascii="Times New Roman" w:eastAsia="Times New Roman" w:hAnsi="Times New Roman" w:cs="Times New Roman"/>
          <w:sz w:val="24"/>
          <w:szCs w:val="24"/>
        </w:rPr>
        <w:t xml:space="preserve">, </w:t>
      </w:r>
      <w:hyperlink r:id="rId7" w:history="1">
        <w:proofErr w:type="spellStart"/>
        <w:r w:rsidRPr="00EA7DF1">
          <w:rPr>
            <w:rFonts w:ascii="Times New Roman" w:eastAsia="Times New Roman" w:hAnsi="Times New Roman" w:cs="Times New Roman"/>
            <w:color w:val="0000FF"/>
            <w:sz w:val="24"/>
            <w:szCs w:val="24"/>
            <w:u w:val="single"/>
          </w:rPr>
          <w:t>Rampp</w:t>
        </w:r>
        <w:proofErr w:type="spellEnd"/>
        <w:r w:rsidRPr="00EA7DF1">
          <w:rPr>
            <w:rFonts w:ascii="Times New Roman" w:eastAsia="Times New Roman" w:hAnsi="Times New Roman" w:cs="Times New Roman"/>
            <w:color w:val="0000FF"/>
            <w:sz w:val="24"/>
            <w:szCs w:val="24"/>
            <w:u w:val="single"/>
          </w:rPr>
          <w:t xml:space="preserve"> S</w:t>
        </w:r>
      </w:hyperlink>
      <w:r w:rsidRPr="00EA7DF1">
        <w:rPr>
          <w:rFonts w:ascii="Times New Roman" w:eastAsia="Times New Roman" w:hAnsi="Times New Roman" w:cs="Times New Roman"/>
          <w:sz w:val="24"/>
          <w:szCs w:val="24"/>
          <w:vertAlign w:val="superscript"/>
        </w:rPr>
        <w:t>3</w:t>
      </w:r>
      <w:r w:rsidRPr="00EA7DF1">
        <w:rPr>
          <w:rFonts w:ascii="Times New Roman" w:eastAsia="Times New Roman" w:hAnsi="Times New Roman" w:cs="Times New Roman"/>
          <w:sz w:val="24"/>
          <w:szCs w:val="24"/>
        </w:rPr>
        <w:t xml:space="preserve">, </w:t>
      </w:r>
      <w:hyperlink r:id="rId8" w:history="1">
        <w:proofErr w:type="spellStart"/>
        <w:r w:rsidRPr="00EA7DF1">
          <w:rPr>
            <w:rFonts w:ascii="Times New Roman" w:eastAsia="Times New Roman" w:hAnsi="Times New Roman" w:cs="Times New Roman"/>
            <w:color w:val="0000FF"/>
            <w:sz w:val="24"/>
            <w:szCs w:val="24"/>
            <w:u w:val="single"/>
          </w:rPr>
          <w:t>Hagge</w:t>
        </w:r>
        <w:proofErr w:type="spellEnd"/>
        <w:r w:rsidRPr="00EA7DF1">
          <w:rPr>
            <w:rFonts w:ascii="Times New Roman" w:eastAsia="Times New Roman" w:hAnsi="Times New Roman" w:cs="Times New Roman"/>
            <w:color w:val="0000FF"/>
            <w:sz w:val="24"/>
            <w:szCs w:val="24"/>
            <w:u w:val="single"/>
          </w:rPr>
          <w:t xml:space="preserve"> M</w:t>
        </w:r>
      </w:hyperlink>
      <w:r w:rsidRPr="00EA7DF1">
        <w:rPr>
          <w:rFonts w:ascii="Times New Roman" w:eastAsia="Times New Roman" w:hAnsi="Times New Roman" w:cs="Times New Roman"/>
          <w:sz w:val="24"/>
          <w:szCs w:val="24"/>
          <w:vertAlign w:val="superscript"/>
        </w:rPr>
        <w:t>3</w:t>
      </w:r>
      <w:r w:rsidRPr="00EA7DF1">
        <w:rPr>
          <w:rFonts w:ascii="Times New Roman" w:eastAsia="Times New Roman" w:hAnsi="Times New Roman" w:cs="Times New Roman"/>
          <w:sz w:val="24"/>
          <w:szCs w:val="24"/>
        </w:rPr>
        <w:t xml:space="preserve">, </w:t>
      </w:r>
      <w:hyperlink r:id="rId9" w:history="1">
        <w:proofErr w:type="spellStart"/>
        <w:r w:rsidRPr="00EA7DF1">
          <w:rPr>
            <w:rFonts w:ascii="Times New Roman" w:eastAsia="Times New Roman" w:hAnsi="Times New Roman" w:cs="Times New Roman"/>
            <w:color w:val="0000FF"/>
            <w:sz w:val="24"/>
            <w:szCs w:val="24"/>
            <w:u w:val="single"/>
          </w:rPr>
          <w:t>Olmes</w:t>
        </w:r>
        <w:proofErr w:type="spellEnd"/>
        <w:r w:rsidRPr="00EA7DF1">
          <w:rPr>
            <w:rFonts w:ascii="Times New Roman" w:eastAsia="Times New Roman" w:hAnsi="Times New Roman" w:cs="Times New Roman"/>
            <w:color w:val="0000FF"/>
            <w:sz w:val="24"/>
            <w:szCs w:val="24"/>
            <w:u w:val="single"/>
          </w:rPr>
          <w:t xml:space="preserve"> D</w:t>
        </w:r>
      </w:hyperlink>
      <w:r w:rsidRPr="00EA7DF1">
        <w:rPr>
          <w:rFonts w:ascii="Times New Roman" w:eastAsia="Times New Roman" w:hAnsi="Times New Roman" w:cs="Times New Roman"/>
          <w:sz w:val="24"/>
          <w:szCs w:val="24"/>
          <w:vertAlign w:val="superscript"/>
        </w:rPr>
        <w:t>3</w:t>
      </w:r>
      <w:r w:rsidRPr="00EA7DF1">
        <w:rPr>
          <w:rFonts w:ascii="Times New Roman" w:eastAsia="Times New Roman" w:hAnsi="Times New Roman" w:cs="Times New Roman"/>
          <w:sz w:val="24"/>
          <w:szCs w:val="24"/>
        </w:rPr>
        <w:t xml:space="preserve">, </w:t>
      </w:r>
      <w:hyperlink r:id="rId10" w:history="1">
        <w:r w:rsidRPr="00EA7DF1">
          <w:rPr>
            <w:rFonts w:ascii="Times New Roman" w:eastAsia="Times New Roman" w:hAnsi="Times New Roman" w:cs="Times New Roman"/>
            <w:color w:val="0000FF"/>
            <w:sz w:val="24"/>
            <w:szCs w:val="24"/>
            <w:u w:val="single"/>
          </w:rPr>
          <w:t>Huttner HB</w:t>
        </w:r>
      </w:hyperlink>
      <w:r w:rsidRPr="00EA7DF1">
        <w:rPr>
          <w:rFonts w:ascii="Times New Roman" w:eastAsia="Times New Roman" w:hAnsi="Times New Roman" w:cs="Times New Roman"/>
          <w:sz w:val="24"/>
          <w:szCs w:val="24"/>
          <w:vertAlign w:val="superscript"/>
        </w:rPr>
        <w:t>3</w:t>
      </w:r>
      <w:r w:rsidRPr="00EA7DF1">
        <w:rPr>
          <w:rFonts w:ascii="Times New Roman" w:eastAsia="Times New Roman" w:hAnsi="Times New Roman" w:cs="Times New Roman"/>
          <w:sz w:val="24"/>
          <w:szCs w:val="24"/>
        </w:rPr>
        <w:t xml:space="preserve">, </w:t>
      </w:r>
      <w:hyperlink r:id="rId11" w:history="1">
        <w:r w:rsidRPr="00EA7DF1">
          <w:rPr>
            <w:rFonts w:ascii="Times New Roman" w:eastAsia="Times New Roman" w:hAnsi="Times New Roman" w:cs="Times New Roman"/>
            <w:color w:val="0000FF"/>
            <w:sz w:val="24"/>
            <w:szCs w:val="24"/>
            <w:u w:val="single"/>
          </w:rPr>
          <w:t>Schwab S</w:t>
        </w:r>
      </w:hyperlink>
      <w:r w:rsidRPr="00EA7DF1">
        <w:rPr>
          <w:rFonts w:ascii="Times New Roman" w:eastAsia="Times New Roman" w:hAnsi="Times New Roman" w:cs="Times New Roman"/>
          <w:sz w:val="24"/>
          <w:szCs w:val="24"/>
          <w:vertAlign w:val="superscript"/>
        </w:rPr>
        <w:t>3</w:t>
      </w:r>
      <w:r w:rsidRPr="00EA7DF1">
        <w:rPr>
          <w:rFonts w:ascii="Times New Roman" w:eastAsia="Times New Roman" w:hAnsi="Times New Roman" w:cs="Times New Roman"/>
          <w:sz w:val="24"/>
          <w:szCs w:val="24"/>
        </w:rPr>
        <w:t xml:space="preserve">, </w:t>
      </w:r>
      <w:hyperlink r:id="rId12" w:history="1">
        <w:proofErr w:type="spellStart"/>
        <w:r w:rsidRPr="00EA7DF1">
          <w:rPr>
            <w:rFonts w:ascii="Times New Roman" w:eastAsia="Times New Roman" w:hAnsi="Times New Roman" w:cs="Times New Roman"/>
            <w:color w:val="0000FF"/>
            <w:sz w:val="24"/>
            <w:szCs w:val="24"/>
            <w:u w:val="single"/>
          </w:rPr>
          <w:t>Madžar</w:t>
        </w:r>
        <w:proofErr w:type="spellEnd"/>
        <w:r w:rsidRPr="00EA7DF1">
          <w:rPr>
            <w:rFonts w:ascii="Times New Roman" w:eastAsia="Times New Roman" w:hAnsi="Times New Roman" w:cs="Times New Roman"/>
            <w:color w:val="0000FF"/>
            <w:sz w:val="24"/>
            <w:szCs w:val="24"/>
            <w:u w:val="single"/>
          </w:rPr>
          <w:t xml:space="preserve"> D</w:t>
        </w:r>
      </w:hyperlink>
      <w:r w:rsidRPr="00EA7DF1">
        <w:rPr>
          <w:rFonts w:ascii="Times New Roman" w:eastAsia="Times New Roman" w:hAnsi="Times New Roman" w:cs="Times New Roman"/>
          <w:sz w:val="24"/>
          <w:szCs w:val="24"/>
          <w:vertAlign w:val="superscript"/>
        </w:rPr>
        <w:t>3</w:t>
      </w:r>
      <w:r w:rsidRPr="00EA7DF1">
        <w:rPr>
          <w:rFonts w:ascii="Times New Roman" w:eastAsia="Times New Roman" w:hAnsi="Times New Roman" w:cs="Times New Roman"/>
          <w:sz w:val="24"/>
          <w:szCs w:val="24"/>
        </w:rPr>
        <w:t xml:space="preserve">, </w:t>
      </w:r>
      <w:hyperlink r:id="rId13" w:history="1">
        <w:proofErr w:type="spellStart"/>
        <w:r w:rsidRPr="00EA7DF1">
          <w:rPr>
            <w:rFonts w:ascii="Times New Roman" w:eastAsia="Times New Roman" w:hAnsi="Times New Roman" w:cs="Times New Roman"/>
            <w:color w:val="0000FF"/>
            <w:sz w:val="24"/>
            <w:szCs w:val="24"/>
            <w:u w:val="single"/>
          </w:rPr>
          <w:t>Hopfengaertner</w:t>
        </w:r>
        <w:proofErr w:type="spellEnd"/>
        <w:r w:rsidRPr="00EA7DF1">
          <w:rPr>
            <w:rFonts w:ascii="Times New Roman" w:eastAsia="Times New Roman" w:hAnsi="Times New Roman" w:cs="Times New Roman"/>
            <w:color w:val="0000FF"/>
            <w:sz w:val="24"/>
            <w:szCs w:val="24"/>
            <w:u w:val="single"/>
          </w:rPr>
          <w:t xml:space="preserve"> R</w:t>
        </w:r>
      </w:hyperlink>
      <w:r w:rsidRPr="00EA7DF1">
        <w:rPr>
          <w:rFonts w:ascii="Times New Roman" w:eastAsia="Times New Roman" w:hAnsi="Times New Roman" w:cs="Times New Roman"/>
          <w:sz w:val="24"/>
          <w:szCs w:val="24"/>
          <w:vertAlign w:val="superscript"/>
        </w:rPr>
        <w:t>3</w:t>
      </w:r>
      <w:r w:rsidRPr="00EA7DF1">
        <w:rPr>
          <w:rFonts w:ascii="Times New Roman" w:eastAsia="Times New Roman" w:hAnsi="Times New Roman" w:cs="Times New Roman"/>
          <w:sz w:val="24"/>
          <w:szCs w:val="24"/>
        </w:rPr>
        <w:t xml:space="preserve">, </w:t>
      </w:r>
      <w:hyperlink r:id="rId14" w:history="1">
        <w:r w:rsidRPr="00EA7DF1">
          <w:rPr>
            <w:rFonts w:ascii="Times New Roman" w:eastAsia="Times New Roman" w:hAnsi="Times New Roman" w:cs="Times New Roman"/>
            <w:color w:val="0000FF"/>
            <w:sz w:val="24"/>
            <w:szCs w:val="24"/>
            <w:u w:val="single"/>
          </w:rPr>
          <w:t>Hamer HM</w:t>
        </w:r>
      </w:hyperlink>
      <w:r w:rsidRPr="00EA7DF1">
        <w:rPr>
          <w:rFonts w:ascii="Times New Roman" w:eastAsia="Times New Roman" w:hAnsi="Times New Roman" w:cs="Times New Roman"/>
          <w:sz w:val="24"/>
          <w:szCs w:val="24"/>
          <w:vertAlign w:val="superscript"/>
        </w:rPr>
        <w:t>3</w:t>
      </w:r>
      <w:r w:rsidRPr="00EA7DF1">
        <w:rPr>
          <w:rFonts w:ascii="Times New Roman" w:eastAsia="Times New Roman" w:hAnsi="Times New Roman" w:cs="Times New Roman"/>
          <w:sz w:val="24"/>
          <w:szCs w:val="24"/>
        </w:rPr>
        <w:t>.</w:t>
      </w:r>
    </w:p>
    <w:p w14:paraId="36215F6D" w14:textId="77777777" w:rsidR="00EA7DF1" w:rsidRPr="00EA7DF1" w:rsidRDefault="00EA7DF1" w:rsidP="00EA7DF1">
      <w:pPr>
        <w:spacing w:before="100" w:beforeAutospacing="1" w:after="100" w:afterAutospacing="1" w:line="240" w:lineRule="auto"/>
        <w:outlineLvl w:val="2"/>
        <w:rPr>
          <w:rFonts w:ascii="Times New Roman" w:eastAsia="Times New Roman" w:hAnsi="Times New Roman" w:cs="Times New Roman"/>
          <w:b/>
          <w:bCs/>
          <w:sz w:val="27"/>
          <w:szCs w:val="27"/>
        </w:rPr>
      </w:pPr>
      <w:hyperlink r:id="rId15" w:tooltip="Open/close author information list" w:history="1">
        <w:r w:rsidRPr="00EA7DF1">
          <w:rPr>
            <w:rFonts w:ascii="Times New Roman" w:eastAsia="Times New Roman" w:hAnsi="Times New Roman" w:cs="Times New Roman"/>
            <w:b/>
            <w:bCs/>
            <w:color w:val="0000FF"/>
            <w:sz w:val="27"/>
            <w:szCs w:val="27"/>
            <w:u w:val="single"/>
          </w:rPr>
          <w:t>Author information</w:t>
        </w:r>
      </w:hyperlink>
    </w:p>
    <w:p w14:paraId="39569B0F" w14:textId="77777777" w:rsidR="00EA7DF1" w:rsidRPr="00EA7DF1" w:rsidRDefault="00EA7DF1" w:rsidP="00EA7DF1">
      <w:pPr>
        <w:spacing w:before="100" w:beforeAutospacing="1" w:after="100" w:afterAutospacing="1" w:line="240" w:lineRule="auto"/>
        <w:outlineLvl w:val="2"/>
        <w:rPr>
          <w:rFonts w:ascii="Times New Roman" w:eastAsia="Times New Roman" w:hAnsi="Times New Roman" w:cs="Times New Roman"/>
          <w:b/>
          <w:bCs/>
          <w:sz w:val="27"/>
          <w:szCs w:val="27"/>
        </w:rPr>
      </w:pPr>
      <w:r w:rsidRPr="00EA7DF1">
        <w:rPr>
          <w:rFonts w:ascii="Times New Roman" w:eastAsia="Times New Roman" w:hAnsi="Times New Roman" w:cs="Times New Roman"/>
          <w:b/>
          <w:bCs/>
          <w:sz w:val="27"/>
          <w:szCs w:val="27"/>
        </w:rPr>
        <w:t>Abstract</w:t>
      </w:r>
    </w:p>
    <w:p w14:paraId="4A876CB5" w14:textId="77777777" w:rsidR="00EA7DF1" w:rsidRPr="00EA7DF1" w:rsidRDefault="00EA7DF1" w:rsidP="00EA7DF1">
      <w:pPr>
        <w:spacing w:before="100" w:beforeAutospacing="1" w:after="100" w:afterAutospacing="1" w:line="240" w:lineRule="auto"/>
        <w:outlineLvl w:val="3"/>
        <w:rPr>
          <w:rFonts w:ascii="Times New Roman" w:eastAsia="Times New Roman" w:hAnsi="Times New Roman" w:cs="Times New Roman"/>
          <w:b/>
          <w:bCs/>
          <w:sz w:val="24"/>
          <w:szCs w:val="24"/>
        </w:rPr>
      </w:pPr>
      <w:r w:rsidRPr="00EA7DF1">
        <w:rPr>
          <w:rFonts w:ascii="Times New Roman" w:eastAsia="Times New Roman" w:hAnsi="Times New Roman" w:cs="Times New Roman"/>
          <w:b/>
          <w:bCs/>
          <w:sz w:val="24"/>
          <w:szCs w:val="24"/>
        </w:rPr>
        <w:t xml:space="preserve">OBJECTIVES: </w:t>
      </w:r>
    </w:p>
    <w:p w14:paraId="486248ED" w14:textId="77777777" w:rsidR="00EA7DF1" w:rsidRPr="00EA7DF1" w:rsidRDefault="00EA7DF1" w:rsidP="00EA7DF1">
      <w:pPr>
        <w:spacing w:before="100" w:beforeAutospacing="1" w:after="100" w:afterAutospacing="1" w:line="240" w:lineRule="auto"/>
        <w:rPr>
          <w:rFonts w:ascii="Times New Roman" w:eastAsia="Times New Roman" w:hAnsi="Times New Roman" w:cs="Times New Roman"/>
          <w:sz w:val="24"/>
          <w:szCs w:val="24"/>
        </w:rPr>
      </w:pPr>
      <w:r w:rsidRPr="00EA7DF1">
        <w:rPr>
          <w:rFonts w:ascii="Times New Roman" w:eastAsia="Times New Roman" w:hAnsi="Times New Roman" w:cs="Times New Roman"/>
          <w:sz w:val="24"/>
          <w:szCs w:val="24"/>
        </w:rPr>
        <w:t>Delayed cerebral infarction (DCI) has a significant impact on mortality and morbidity of patients with subarachnoid hemorrhage (SAH). The aim of this study was to define quantitative EEG (</w:t>
      </w:r>
      <w:proofErr w:type="spellStart"/>
      <w:r w:rsidRPr="00EA7DF1">
        <w:rPr>
          <w:rFonts w:ascii="Times New Roman" w:eastAsia="Times New Roman" w:hAnsi="Times New Roman" w:cs="Times New Roman"/>
          <w:sz w:val="24"/>
          <w:szCs w:val="24"/>
        </w:rPr>
        <w:t>qEEG</w:t>
      </w:r>
      <w:proofErr w:type="spellEnd"/>
      <w:r w:rsidRPr="00EA7DF1">
        <w:rPr>
          <w:rFonts w:ascii="Times New Roman" w:eastAsia="Times New Roman" w:hAnsi="Times New Roman" w:cs="Times New Roman"/>
          <w:sz w:val="24"/>
          <w:szCs w:val="24"/>
        </w:rPr>
        <w:t xml:space="preserve">) parameters for the early and reliable prediction of DCI and compare the validity and time course of </w:t>
      </w:r>
      <w:proofErr w:type="spellStart"/>
      <w:r w:rsidRPr="00EA7DF1">
        <w:rPr>
          <w:rFonts w:ascii="Times New Roman" w:eastAsia="Times New Roman" w:hAnsi="Times New Roman" w:cs="Times New Roman"/>
          <w:sz w:val="24"/>
          <w:szCs w:val="24"/>
        </w:rPr>
        <w:t>qEEG</w:t>
      </w:r>
      <w:proofErr w:type="spellEnd"/>
      <w:r w:rsidRPr="00EA7DF1">
        <w:rPr>
          <w:rFonts w:ascii="Times New Roman" w:eastAsia="Times New Roman" w:hAnsi="Times New Roman" w:cs="Times New Roman"/>
          <w:sz w:val="24"/>
          <w:szCs w:val="24"/>
        </w:rPr>
        <w:t xml:space="preserve"> to standard procedures.</w:t>
      </w:r>
    </w:p>
    <w:p w14:paraId="7D947885" w14:textId="77777777" w:rsidR="00EA7DF1" w:rsidRPr="00EA7DF1" w:rsidRDefault="00EA7DF1" w:rsidP="00EA7DF1">
      <w:pPr>
        <w:spacing w:before="100" w:beforeAutospacing="1" w:after="100" w:afterAutospacing="1" w:line="240" w:lineRule="auto"/>
        <w:outlineLvl w:val="3"/>
        <w:rPr>
          <w:rFonts w:ascii="Times New Roman" w:eastAsia="Times New Roman" w:hAnsi="Times New Roman" w:cs="Times New Roman"/>
          <w:b/>
          <w:bCs/>
          <w:sz w:val="24"/>
          <w:szCs w:val="24"/>
        </w:rPr>
      </w:pPr>
      <w:r w:rsidRPr="00EA7DF1">
        <w:rPr>
          <w:rFonts w:ascii="Times New Roman" w:eastAsia="Times New Roman" w:hAnsi="Times New Roman" w:cs="Times New Roman"/>
          <w:b/>
          <w:bCs/>
          <w:sz w:val="24"/>
          <w:szCs w:val="24"/>
        </w:rPr>
        <w:t xml:space="preserve">METHODS: </w:t>
      </w:r>
    </w:p>
    <w:p w14:paraId="43E09102" w14:textId="77777777" w:rsidR="00EA7DF1" w:rsidRPr="00EA7DF1" w:rsidRDefault="00EA7DF1" w:rsidP="00EA7DF1">
      <w:pPr>
        <w:spacing w:before="100" w:beforeAutospacing="1" w:after="100" w:afterAutospacing="1" w:line="240" w:lineRule="auto"/>
        <w:rPr>
          <w:rFonts w:ascii="Times New Roman" w:eastAsia="Times New Roman" w:hAnsi="Times New Roman" w:cs="Times New Roman"/>
          <w:sz w:val="24"/>
          <w:szCs w:val="24"/>
        </w:rPr>
      </w:pPr>
      <w:r w:rsidRPr="00EA7DF1">
        <w:rPr>
          <w:rFonts w:ascii="Times New Roman" w:eastAsia="Times New Roman" w:hAnsi="Times New Roman" w:cs="Times New Roman"/>
          <w:sz w:val="24"/>
          <w:szCs w:val="24"/>
        </w:rPr>
        <w:t xml:space="preserve">12 </w:t>
      </w:r>
      <w:proofErr w:type="gramStart"/>
      <w:r w:rsidRPr="00EA7DF1">
        <w:rPr>
          <w:rFonts w:ascii="Times New Roman" w:eastAsia="Times New Roman" w:hAnsi="Times New Roman" w:cs="Times New Roman"/>
          <w:sz w:val="24"/>
          <w:szCs w:val="24"/>
        </w:rPr>
        <w:t>consecutive</w:t>
      </w:r>
      <w:proofErr w:type="gramEnd"/>
      <w:r w:rsidRPr="00EA7DF1">
        <w:rPr>
          <w:rFonts w:ascii="Times New Roman" w:eastAsia="Times New Roman" w:hAnsi="Times New Roman" w:cs="Times New Roman"/>
          <w:sz w:val="24"/>
          <w:szCs w:val="24"/>
        </w:rPr>
        <w:t xml:space="preserve"> unselected SAH patients (8 female, mean age 52 years, Hunt-and-Hess grade I-IV) were prospectively examined. Continuous six channel EEG monitoring was started within 48 h after admission (mean duration 5.2 days; range: 2-12 days). All raw and unselected EEG signal underwent automated artifact rejection, Short Time Fast Fourier Transformation and a detrending procedure in order to analyze regional spectral power changes in different frequency bands. According to clinical standards, transcranial Doppler sonography (TCD) was performed at least on alternate days and repeat cerebral computer tomography (CCT) as needed.</w:t>
      </w:r>
    </w:p>
    <w:p w14:paraId="1927DBF6" w14:textId="77777777" w:rsidR="00EA7DF1" w:rsidRPr="00EA7DF1" w:rsidRDefault="00EA7DF1" w:rsidP="00EA7DF1">
      <w:pPr>
        <w:spacing w:before="100" w:beforeAutospacing="1" w:after="100" w:afterAutospacing="1" w:line="240" w:lineRule="auto"/>
        <w:outlineLvl w:val="3"/>
        <w:rPr>
          <w:rFonts w:ascii="Times New Roman" w:eastAsia="Times New Roman" w:hAnsi="Times New Roman" w:cs="Times New Roman"/>
          <w:b/>
          <w:bCs/>
          <w:sz w:val="24"/>
          <w:szCs w:val="24"/>
        </w:rPr>
      </w:pPr>
      <w:r w:rsidRPr="00EA7DF1">
        <w:rPr>
          <w:rFonts w:ascii="Times New Roman" w:eastAsia="Times New Roman" w:hAnsi="Times New Roman" w:cs="Times New Roman"/>
          <w:b/>
          <w:bCs/>
          <w:sz w:val="24"/>
          <w:szCs w:val="24"/>
        </w:rPr>
        <w:t xml:space="preserve">RESULTS: </w:t>
      </w:r>
    </w:p>
    <w:p w14:paraId="292E24DD" w14:textId="77777777" w:rsidR="00EA7DF1" w:rsidRPr="00EA7DF1" w:rsidRDefault="00EA7DF1" w:rsidP="00EA7DF1">
      <w:pPr>
        <w:spacing w:before="100" w:beforeAutospacing="1" w:after="100" w:afterAutospacing="1" w:line="240" w:lineRule="auto"/>
        <w:rPr>
          <w:rFonts w:ascii="Times New Roman" w:eastAsia="Times New Roman" w:hAnsi="Times New Roman" w:cs="Times New Roman"/>
          <w:sz w:val="24"/>
          <w:szCs w:val="24"/>
        </w:rPr>
      </w:pPr>
      <w:r w:rsidRPr="00EA7DF1">
        <w:rPr>
          <w:rFonts w:ascii="Times New Roman" w:eastAsia="Times New Roman" w:hAnsi="Times New Roman" w:cs="Times New Roman"/>
          <w:sz w:val="24"/>
          <w:szCs w:val="24"/>
        </w:rPr>
        <w:t xml:space="preserve">6 patients (50%) developed vasospasm/DCI. Decrease of </w:t>
      </w:r>
      <w:r w:rsidRPr="00EA7DF1">
        <w:rPr>
          <w:rFonts w:ascii="Cambria Math" w:eastAsia="Times New Roman" w:hAnsi="Cambria Math" w:cs="Cambria Math"/>
          <w:sz w:val="24"/>
          <w:szCs w:val="24"/>
        </w:rPr>
        <w:t>⩾</w:t>
      </w:r>
      <w:r w:rsidRPr="00EA7DF1">
        <w:rPr>
          <w:rFonts w:ascii="Times New Roman" w:eastAsia="Times New Roman" w:hAnsi="Times New Roman" w:cs="Times New Roman"/>
          <w:sz w:val="24"/>
          <w:szCs w:val="24"/>
        </w:rPr>
        <w:t xml:space="preserve">40% in power persisting over </w:t>
      </w:r>
      <w:r w:rsidRPr="00EA7DF1">
        <w:rPr>
          <w:rFonts w:ascii="Cambria Math" w:eastAsia="Times New Roman" w:hAnsi="Cambria Math" w:cs="Cambria Math"/>
          <w:sz w:val="24"/>
          <w:szCs w:val="24"/>
        </w:rPr>
        <w:t>⩾</w:t>
      </w:r>
      <w:r w:rsidRPr="00EA7DF1">
        <w:rPr>
          <w:rFonts w:ascii="Times New Roman" w:eastAsia="Times New Roman" w:hAnsi="Times New Roman" w:cs="Times New Roman"/>
          <w:sz w:val="24"/>
          <w:szCs w:val="24"/>
        </w:rPr>
        <w:t xml:space="preserve">5h in the alpha band and </w:t>
      </w:r>
      <w:r w:rsidRPr="00EA7DF1">
        <w:rPr>
          <w:rFonts w:ascii="Cambria Math" w:eastAsia="Times New Roman" w:hAnsi="Cambria Math" w:cs="Cambria Math"/>
          <w:sz w:val="24"/>
          <w:szCs w:val="24"/>
        </w:rPr>
        <w:t>⩾</w:t>
      </w:r>
      <w:r w:rsidRPr="00EA7DF1">
        <w:rPr>
          <w:rFonts w:ascii="Times New Roman" w:eastAsia="Times New Roman" w:hAnsi="Times New Roman" w:cs="Times New Roman"/>
          <w:sz w:val="24"/>
          <w:szCs w:val="24"/>
        </w:rPr>
        <w:t xml:space="preserve">6h in the theta band marked the optimal cut-off to detect DCI (sensitivity 89%, specificity 77% for alpha). EEG changes preceded detection of vasospasm/DCI in standard procedures by 2.3d </w:t>
      </w:r>
      <w:proofErr w:type="spellStart"/>
      <w:r w:rsidRPr="00EA7DF1">
        <w:rPr>
          <w:rFonts w:ascii="Times New Roman" w:eastAsia="Times New Roman" w:hAnsi="Times New Roman" w:cs="Times New Roman"/>
          <w:sz w:val="24"/>
          <w:szCs w:val="24"/>
        </w:rPr>
        <w:t>ays</w:t>
      </w:r>
      <w:proofErr w:type="spellEnd"/>
      <w:r w:rsidRPr="00EA7DF1">
        <w:rPr>
          <w:rFonts w:ascii="Times New Roman" w:eastAsia="Times New Roman" w:hAnsi="Times New Roman" w:cs="Times New Roman"/>
          <w:sz w:val="24"/>
          <w:szCs w:val="24"/>
        </w:rPr>
        <w:t>. Changes in the beta and delta band as well as in the alpha/delta ratio demonstrated lower correlation with imminent DCI.</w:t>
      </w:r>
    </w:p>
    <w:p w14:paraId="6A490A79" w14:textId="77777777" w:rsidR="00EA7DF1" w:rsidRPr="00EA7DF1" w:rsidRDefault="00EA7DF1" w:rsidP="00EA7DF1">
      <w:pPr>
        <w:spacing w:before="100" w:beforeAutospacing="1" w:after="100" w:afterAutospacing="1" w:line="240" w:lineRule="auto"/>
        <w:outlineLvl w:val="3"/>
        <w:rPr>
          <w:rFonts w:ascii="Times New Roman" w:eastAsia="Times New Roman" w:hAnsi="Times New Roman" w:cs="Times New Roman"/>
          <w:b/>
          <w:bCs/>
          <w:sz w:val="24"/>
          <w:szCs w:val="24"/>
        </w:rPr>
      </w:pPr>
      <w:r w:rsidRPr="00EA7DF1">
        <w:rPr>
          <w:rFonts w:ascii="Times New Roman" w:eastAsia="Times New Roman" w:hAnsi="Times New Roman" w:cs="Times New Roman"/>
          <w:b/>
          <w:bCs/>
          <w:sz w:val="24"/>
          <w:szCs w:val="24"/>
        </w:rPr>
        <w:t xml:space="preserve">CONCLUSIONS: </w:t>
      </w:r>
    </w:p>
    <w:p w14:paraId="0F23BC25" w14:textId="77777777" w:rsidR="00EA7DF1" w:rsidRPr="00EA7DF1" w:rsidRDefault="00EA7DF1" w:rsidP="00EA7DF1">
      <w:pPr>
        <w:spacing w:before="100" w:beforeAutospacing="1" w:after="100" w:afterAutospacing="1" w:line="240" w:lineRule="auto"/>
        <w:rPr>
          <w:rFonts w:ascii="Times New Roman" w:eastAsia="Times New Roman" w:hAnsi="Times New Roman" w:cs="Times New Roman"/>
          <w:sz w:val="24"/>
          <w:szCs w:val="24"/>
        </w:rPr>
      </w:pPr>
      <w:r w:rsidRPr="00EA7DF1">
        <w:rPr>
          <w:rFonts w:ascii="Times New Roman" w:eastAsia="Times New Roman" w:hAnsi="Times New Roman" w:cs="Times New Roman"/>
          <w:sz w:val="24"/>
          <w:szCs w:val="24"/>
        </w:rPr>
        <w:lastRenderedPageBreak/>
        <w:t>Focal reduction in alpha power may represent a valid, observer independent, non-invasive and continuous marker for vasospasm/DCI in SAH patients.</w:t>
      </w:r>
    </w:p>
    <w:p w14:paraId="68F59867" w14:textId="77777777" w:rsidR="00EA7DF1" w:rsidRPr="00EA7DF1" w:rsidRDefault="00EA7DF1" w:rsidP="00EA7DF1">
      <w:pPr>
        <w:spacing w:before="100" w:beforeAutospacing="1" w:after="100" w:afterAutospacing="1" w:line="240" w:lineRule="auto"/>
        <w:outlineLvl w:val="3"/>
        <w:rPr>
          <w:rFonts w:ascii="Times New Roman" w:eastAsia="Times New Roman" w:hAnsi="Times New Roman" w:cs="Times New Roman"/>
          <w:b/>
          <w:bCs/>
          <w:sz w:val="24"/>
          <w:szCs w:val="24"/>
        </w:rPr>
      </w:pPr>
      <w:r w:rsidRPr="00EA7DF1">
        <w:rPr>
          <w:rFonts w:ascii="Times New Roman" w:eastAsia="Times New Roman" w:hAnsi="Times New Roman" w:cs="Times New Roman"/>
          <w:b/>
          <w:bCs/>
          <w:sz w:val="24"/>
          <w:szCs w:val="24"/>
        </w:rPr>
        <w:t xml:space="preserve">SIGNIFICANCE: </w:t>
      </w:r>
    </w:p>
    <w:p w14:paraId="30E493C4" w14:textId="77777777" w:rsidR="00EA7DF1" w:rsidRPr="00EA7DF1" w:rsidRDefault="00EA7DF1" w:rsidP="00EA7DF1">
      <w:pPr>
        <w:spacing w:before="100" w:beforeAutospacing="1" w:after="100" w:afterAutospacing="1" w:line="240" w:lineRule="auto"/>
        <w:rPr>
          <w:rFonts w:ascii="Times New Roman" w:eastAsia="Times New Roman" w:hAnsi="Times New Roman" w:cs="Times New Roman"/>
          <w:sz w:val="24"/>
          <w:szCs w:val="24"/>
        </w:rPr>
      </w:pPr>
      <w:proofErr w:type="spellStart"/>
      <w:r w:rsidRPr="00EA7DF1">
        <w:rPr>
          <w:rFonts w:ascii="Times New Roman" w:eastAsia="Times New Roman" w:hAnsi="Times New Roman" w:cs="Times New Roman"/>
          <w:sz w:val="24"/>
          <w:szCs w:val="24"/>
        </w:rPr>
        <w:t>qEEG</w:t>
      </w:r>
      <w:proofErr w:type="spellEnd"/>
      <w:r w:rsidRPr="00EA7DF1">
        <w:rPr>
          <w:rFonts w:ascii="Times New Roman" w:eastAsia="Times New Roman" w:hAnsi="Times New Roman" w:cs="Times New Roman"/>
          <w:sz w:val="24"/>
          <w:szCs w:val="24"/>
        </w:rPr>
        <w:t xml:space="preserve"> indicates imminent ischemia earlier than established diagnostic tools, such as TCD.</w:t>
      </w:r>
    </w:p>
    <w:p w14:paraId="4C0592B4" w14:textId="77777777" w:rsidR="00EA7DF1" w:rsidRPr="00EA7DF1" w:rsidRDefault="00EA7DF1" w:rsidP="00EA7DF1">
      <w:pPr>
        <w:spacing w:before="100" w:beforeAutospacing="1" w:after="100" w:afterAutospacing="1" w:line="240" w:lineRule="auto"/>
        <w:rPr>
          <w:rFonts w:ascii="Times New Roman" w:eastAsia="Times New Roman" w:hAnsi="Times New Roman" w:cs="Times New Roman"/>
          <w:sz w:val="24"/>
          <w:szCs w:val="24"/>
        </w:rPr>
      </w:pPr>
      <w:r w:rsidRPr="00EA7DF1">
        <w:rPr>
          <w:rFonts w:ascii="Times New Roman" w:eastAsia="Times New Roman" w:hAnsi="Times New Roman" w:cs="Times New Roman"/>
          <w:sz w:val="24"/>
          <w:szCs w:val="24"/>
        </w:rPr>
        <w:t>Copyright © 2014 International Federation of Clinical Neurophysiology. Published by Elsevier Ireland Ltd. All rights reserved.</w:t>
      </w:r>
    </w:p>
    <w:p w14:paraId="0CD9EEB1" w14:textId="77777777" w:rsidR="00EA7DF1" w:rsidRPr="00EA7DF1" w:rsidRDefault="00EA7DF1" w:rsidP="00EA7DF1">
      <w:pPr>
        <w:spacing w:before="100" w:beforeAutospacing="1" w:after="100" w:afterAutospacing="1" w:line="240" w:lineRule="auto"/>
        <w:outlineLvl w:val="3"/>
        <w:rPr>
          <w:rFonts w:ascii="Times New Roman" w:eastAsia="Times New Roman" w:hAnsi="Times New Roman" w:cs="Times New Roman"/>
          <w:b/>
          <w:bCs/>
          <w:sz w:val="24"/>
          <w:szCs w:val="24"/>
        </w:rPr>
      </w:pPr>
      <w:r w:rsidRPr="00EA7DF1">
        <w:rPr>
          <w:rFonts w:ascii="Times New Roman" w:eastAsia="Times New Roman" w:hAnsi="Times New Roman" w:cs="Times New Roman"/>
          <w:b/>
          <w:bCs/>
          <w:sz w:val="24"/>
          <w:szCs w:val="24"/>
        </w:rPr>
        <w:t xml:space="preserve">KEYWORDS: </w:t>
      </w:r>
    </w:p>
    <w:p w14:paraId="1FA6B3FA" w14:textId="77777777" w:rsidR="00EA7DF1" w:rsidRPr="00EA7DF1" w:rsidRDefault="00EA7DF1" w:rsidP="00EA7DF1">
      <w:pPr>
        <w:spacing w:before="100" w:beforeAutospacing="1" w:after="100" w:afterAutospacing="1" w:line="240" w:lineRule="auto"/>
        <w:rPr>
          <w:rFonts w:ascii="Times New Roman" w:eastAsia="Times New Roman" w:hAnsi="Times New Roman" w:cs="Times New Roman"/>
          <w:sz w:val="24"/>
          <w:szCs w:val="24"/>
        </w:rPr>
      </w:pPr>
      <w:r w:rsidRPr="00EA7DF1">
        <w:rPr>
          <w:rFonts w:ascii="Times New Roman" w:eastAsia="Times New Roman" w:hAnsi="Times New Roman" w:cs="Times New Roman"/>
          <w:sz w:val="24"/>
          <w:szCs w:val="24"/>
        </w:rPr>
        <w:t>Delayed cerebral ischemia; Quantitative EEG; Subarachnoid hemorrhage; Vasospasm</w:t>
      </w:r>
    </w:p>
    <w:p w14:paraId="59532FB9" w14:textId="77777777" w:rsidR="00EA7DF1" w:rsidRPr="00EA7DF1" w:rsidRDefault="00EA7DF1" w:rsidP="00EA7DF1">
      <w:pPr>
        <w:spacing w:after="0" w:line="240" w:lineRule="auto"/>
        <w:rPr>
          <w:rFonts w:ascii="Times New Roman" w:eastAsia="Times New Roman" w:hAnsi="Times New Roman" w:cs="Times New Roman"/>
          <w:sz w:val="24"/>
          <w:szCs w:val="24"/>
        </w:rPr>
      </w:pPr>
      <w:r w:rsidRPr="00EA7DF1">
        <w:rPr>
          <w:rFonts w:ascii="Times New Roman" w:eastAsia="Times New Roman" w:hAnsi="Times New Roman" w:cs="Times New Roman"/>
          <w:sz w:val="24"/>
          <w:szCs w:val="24"/>
        </w:rPr>
        <w:t>PMID:</w:t>
      </w:r>
    </w:p>
    <w:p w14:paraId="675AA4FF" w14:textId="77777777" w:rsidR="00EA7DF1" w:rsidRPr="00EA7DF1" w:rsidRDefault="00EA7DF1" w:rsidP="00EA7DF1">
      <w:pPr>
        <w:spacing w:after="0" w:line="240" w:lineRule="auto"/>
        <w:ind w:left="720"/>
        <w:rPr>
          <w:rFonts w:ascii="Times New Roman" w:eastAsia="Times New Roman" w:hAnsi="Times New Roman" w:cs="Times New Roman"/>
          <w:sz w:val="24"/>
          <w:szCs w:val="24"/>
        </w:rPr>
      </w:pPr>
      <w:r w:rsidRPr="00EA7DF1">
        <w:rPr>
          <w:rFonts w:ascii="Times New Roman" w:eastAsia="Times New Roman" w:hAnsi="Times New Roman" w:cs="Times New Roman"/>
          <w:sz w:val="24"/>
          <w:szCs w:val="24"/>
        </w:rPr>
        <w:t>25500193</w:t>
      </w:r>
    </w:p>
    <w:p w14:paraId="1B78ADD8" w14:textId="77777777" w:rsidR="00EA7DF1" w:rsidRPr="00EA7DF1" w:rsidRDefault="00EA7DF1" w:rsidP="00EA7DF1">
      <w:pPr>
        <w:spacing w:after="0" w:line="240" w:lineRule="auto"/>
        <w:rPr>
          <w:rFonts w:ascii="Times New Roman" w:eastAsia="Times New Roman" w:hAnsi="Times New Roman" w:cs="Times New Roman"/>
          <w:sz w:val="24"/>
          <w:szCs w:val="24"/>
        </w:rPr>
      </w:pPr>
      <w:r w:rsidRPr="00EA7DF1">
        <w:rPr>
          <w:rFonts w:ascii="Times New Roman" w:eastAsia="Times New Roman" w:hAnsi="Times New Roman" w:cs="Times New Roman"/>
          <w:sz w:val="24"/>
          <w:szCs w:val="24"/>
        </w:rPr>
        <w:t>DOI:</w:t>
      </w:r>
      <w:bookmarkStart w:id="0" w:name="_GoBack"/>
      <w:bookmarkEnd w:id="0"/>
    </w:p>
    <w:sectPr w:rsidR="00EA7DF1" w:rsidRPr="00EA7D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62E86"/>
    <w:multiLevelType w:val="multilevel"/>
    <w:tmpl w:val="1390E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5035A8"/>
    <w:multiLevelType w:val="multilevel"/>
    <w:tmpl w:val="689ED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4A67C7"/>
    <w:multiLevelType w:val="multilevel"/>
    <w:tmpl w:val="03DA3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570B6D"/>
    <w:multiLevelType w:val="multilevel"/>
    <w:tmpl w:val="22E87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1A1334"/>
    <w:multiLevelType w:val="multilevel"/>
    <w:tmpl w:val="D16EF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3E167A"/>
    <w:multiLevelType w:val="multilevel"/>
    <w:tmpl w:val="13B2D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FD6494"/>
    <w:multiLevelType w:val="multilevel"/>
    <w:tmpl w:val="8ACE6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2"/>
  </w:num>
  <w:num w:numId="4">
    <w:abstractNumId w:val="5"/>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DF1"/>
    <w:rsid w:val="00E1007D"/>
    <w:rsid w:val="00EA7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30FA8"/>
  <w15:chartTrackingRefBased/>
  <w15:docId w15:val="{A912E41D-951F-44BD-96FD-9F3912892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875409">
      <w:bodyDiv w:val="1"/>
      <w:marLeft w:val="0"/>
      <w:marRight w:val="0"/>
      <w:marTop w:val="0"/>
      <w:marBottom w:val="0"/>
      <w:divBdr>
        <w:top w:val="none" w:sz="0" w:space="0" w:color="auto"/>
        <w:left w:val="none" w:sz="0" w:space="0" w:color="auto"/>
        <w:bottom w:val="none" w:sz="0" w:space="0" w:color="auto"/>
        <w:right w:val="none" w:sz="0" w:space="0" w:color="auto"/>
      </w:divBdr>
      <w:divsChild>
        <w:div w:id="1971936641">
          <w:marLeft w:val="0"/>
          <w:marRight w:val="0"/>
          <w:marTop w:val="0"/>
          <w:marBottom w:val="0"/>
          <w:divBdr>
            <w:top w:val="none" w:sz="0" w:space="0" w:color="auto"/>
            <w:left w:val="none" w:sz="0" w:space="0" w:color="auto"/>
            <w:bottom w:val="none" w:sz="0" w:space="0" w:color="auto"/>
            <w:right w:val="none" w:sz="0" w:space="0" w:color="auto"/>
          </w:divBdr>
        </w:div>
        <w:div w:id="230117328">
          <w:marLeft w:val="0"/>
          <w:marRight w:val="0"/>
          <w:marTop w:val="0"/>
          <w:marBottom w:val="0"/>
          <w:divBdr>
            <w:top w:val="none" w:sz="0" w:space="0" w:color="auto"/>
            <w:left w:val="none" w:sz="0" w:space="0" w:color="auto"/>
            <w:bottom w:val="none" w:sz="0" w:space="0" w:color="auto"/>
            <w:right w:val="none" w:sz="0" w:space="0" w:color="auto"/>
          </w:divBdr>
          <w:divsChild>
            <w:div w:id="1647540399">
              <w:marLeft w:val="0"/>
              <w:marRight w:val="0"/>
              <w:marTop w:val="0"/>
              <w:marBottom w:val="0"/>
              <w:divBdr>
                <w:top w:val="none" w:sz="0" w:space="0" w:color="auto"/>
                <w:left w:val="none" w:sz="0" w:space="0" w:color="auto"/>
                <w:bottom w:val="none" w:sz="0" w:space="0" w:color="auto"/>
                <w:right w:val="none" w:sz="0" w:space="0" w:color="auto"/>
              </w:divBdr>
              <w:divsChild>
                <w:div w:id="1044910221">
                  <w:marLeft w:val="0"/>
                  <w:marRight w:val="0"/>
                  <w:marTop w:val="0"/>
                  <w:marBottom w:val="0"/>
                  <w:divBdr>
                    <w:top w:val="none" w:sz="0" w:space="0" w:color="auto"/>
                    <w:left w:val="none" w:sz="0" w:space="0" w:color="auto"/>
                    <w:bottom w:val="none" w:sz="0" w:space="0" w:color="auto"/>
                    <w:right w:val="none" w:sz="0" w:space="0" w:color="auto"/>
                  </w:divBdr>
                </w:div>
                <w:div w:id="151334406">
                  <w:marLeft w:val="0"/>
                  <w:marRight w:val="0"/>
                  <w:marTop w:val="0"/>
                  <w:marBottom w:val="0"/>
                  <w:divBdr>
                    <w:top w:val="none" w:sz="0" w:space="0" w:color="auto"/>
                    <w:left w:val="none" w:sz="0" w:space="0" w:color="auto"/>
                    <w:bottom w:val="none" w:sz="0" w:space="0" w:color="auto"/>
                    <w:right w:val="none" w:sz="0" w:space="0" w:color="auto"/>
                  </w:divBdr>
                </w:div>
                <w:div w:id="913777164">
                  <w:marLeft w:val="0"/>
                  <w:marRight w:val="0"/>
                  <w:marTop w:val="0"/>
                  <w:marBottom w:val="0"/>
                  <w:divBdr>
                    <w:top w:val="none" w:sz="0" w:space="0" w:color="auto"/>
                    <w:left w:val="none" w:sz="0" w:space="0" w:color="auto"/>
                    <w:bottom w:val="none" w:sz="0" w:space="0" w:color="auto"/>
                    <w:right w:val="none" w:sz="0" w:space="0" w:color="auto"/>
                  </w:divBdr>
                </w:div>
                <w:div w:id="1999650253">
                  <w:marLeft w:val="0"/>
                  <w:marRight w:val="0"/>
                  <w:marTop w:val="0"/>
                  <w:marBottom w:val="0"/>
                  <w:divBdr>
                    <w:top w:val="none" w:sz="0" w:space="0" w:color="auto"/>
                    <w:left w:val="none" w:sz="0" w:space="0" w:color="auto"/>
                    <w:bottom w:val="none" w:sz="0" w:space="0" w:color="auto"/>
                    <w:right w:val="none" w:sz="0" w:space="0" w:color="auto"/>
                  </w:divBdr>
                  <w:divsChild>
                    <w:div w:id="1109424730">
                      <w:marLeft w:val="0"/>
                      <w:marRight w:val="0"/>
                      <w:marTop w:val="0"/>
                      <w:marBottom w:val="0"/>
                      <w:divBdr>
                        <w:top w:val="none" w:sz="0" w:space="0" w:color="auto"/>
                        <w:left w:val="none" w:sz="0" w:space="0" w:color="auto"/>
                        <w:bottom w:val="none" w:sz="0" w:space="0" w:color="auto"/>
                        <w:right w:val="none" w:sz="0" w:space="0" w:color="auto"/>
                      </w:divBdr>
                    </w:div>
                  </w:divsChild>
                </w:div>
                <w:div w:id="1780025930">
                  <w:marLeft w:val="0"/>
                  <w:marRight w:val="0"/>
                  <w:marTop w:val="0"/>
                  <w:marBottom w:val="0"/>
                  <w:divBdr>
                    <w:top w:val="none" w:sz="0" w:space="0" w:color="auto"/>
                    <w:left w:val="none" w:sz="0" w:space="0" w:color="auto"/>
                    <w:bottom w:val="none" w:sz="0" w:space="0" w:color="auto"/>
                    <w:right w:val="none" w:sz="0" w:space="0" w:color="auto"/>
                  </w:divBdr>
                </w:div>
                <w:div w:id="1660770072">
                  <w:marLeft w:val="0"/>
                  <w:marRight w:val="0"/>
                  <w:marTop w:val="0"/>
                  <w:marBottom w:val="0"/>
                  <w:divBdr>
                    <w:top w:val="none" w:sz="0" w:space="0" w:color="auto"/>
                    <w:left w:val="none" w:sz="0" w:space="0" w:color="auto"/>
                    <w:bottom w:val="none" w:sz="0" w:space="0" w:color="auto"/>
                    <w:right w:val="none" w:sz="0" w:space="0" w:color="auto"/>
                  </w:divBdr>
                  <w:divsChild>
                    <w:div w:id="1122501936">
                      <w:marLeft w:val="0"/>
                      <w:marRight w:val="0"/>
                      <w:marTop w:val="0"/>
                      <w:marBottom w:val="0"/>
                      <w:divBdr>
                        <w:top w:val="none" w:sz="0" w:space="0" w:color="auto"/>
                        <w:left w:val="none" w:sz="0" w:space="0" w:color="auto"/>
                        <w:bottom w:val="none" w:sz="0" w:space="0" w:color="auto"/>
                        <w:right w:val="none" w:sz="0" w:space="0" w:color="auto"/>
                      </w:divBdr>
                    </w:div>
                    <w:div w:id="175119510">
                      <w:marLeft w:val="0"/>
                      <w:marRight w:val="0"/>
                      <w:marTop w:val="0"/>
                      <w:marBottom w:val="0"/>
                      <w:divBdr>
                        <w:top w:val="none" w:sz="0" w:space="0" w:color="auto"/>
                        <w:left w:val="none" w:sz="0" w:space="0" w:color="auto"/>
                        <w:bottom w:val="none" w:sz="0" w:space="0" w:color="auto"/>
                        <w:right w:val="none" w:sz="0" w:space="0" w:color="auto"/>
                      </w:divBdr>
                    </w:div>
                    <w:div w:id="98717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660723">
          <w:marLeft w:val="0"/>
          <w:marRight w:val="0"/>
          <w:marTop w:val="0"/>
          <w:marBottom w:val="0"/>
          <w:divBdr>
            <w:top w:val="none" w:sz="0" w:space="0" w:color="auto"/>
            <w:left w:val="none" w:sz="0" w:space="0" w:color="auto"/>
            <w:bottom w:val="none" w:sz="0" w:space="0" w:color="auto"/>
            <w:right w:val="none" w:sz="0" w:space="0" w:color="auto"/>
          </w:divBdr>
        </w:div>
        <w:div w:id="1802992917">
          <w:marLeft w:val="0"/>
          <w:marRight w:val="0"/>
          <w:marTop w:val="0"/>
          <w:marBottom w:val="0"/>
          <w:divBdr>
            <w:top w:val="none" w:sz="0" w:space="0" w:color="auto"/>
            <w:left w:val="none" w:sz="0" w:space="0" w:color="auto"/>
            <w:bottom w:val="none" w:sz="0" w:space="0" w:color="auto"/>
            <w:right w:val="none" w:sz="0" w:space="0" w:color="auto"/>
          </w:divBdr>
          <w:divsChild>
            <w:div w:id="1622178564">
              <w:marLeft w:val="0"/>
              <w:marRight w:val="0"/>
              <w:marTop w:val="0"/>
              <w:marBottom w:val="0"/>
              <w:divBdr>
                <w:top w:val="none" w:sz="0" w:space="0" w:color="auto"/>
                <w:left w:val="none" w:sz="0" w:space="0" w:color="auto"/>
                <w:bottom w:val="none" w:sz="0" w:space="0" w:color="auto"/>
                <w:right w:val="none" w:sz="0" w:space="0" w:color="auto"/>
              </w:divBdr>
              <w:divsChild>
                <w:div w:id="843782849">
                  <w:marLeft w:val="0"/>
                  <w:marRight w:val="0"/>
                  <w:marTop w:val="0"/>
                  <w:marBottom w:val="0"/>
                  <w:divBdr>
                    <w:top w:val="none" w:sz="0" w:space="0" w:color="auto"/>
                    <w:left w:val="none" w:sz="0" w:space="0" w:color="auto"/>
                    <w:bottom w:val="none" w:sz="0" w:space="0" w:color="auto"/>
                    <w:right w:val="none" w:sz="0" w:space="0" w:color="auto"/>
                  </w:divBdr>
                  <w:divsChild>
                    <w:div w:id="91439046">
                      <w:marLeft w:val="0"/>
                      <w:marRight w:val="0"/>
                      <w:marTop w:val="0"/>
                      <w:marBottom w:val="0"/>
                      <w:divBdr>
                        <w:top w:val="none" w:sz="0" w:space="0" w:color="auto"/>
                        <w:left w:val="none" w:sz="0" w:space="0" w:color="auto"/>
                        <w:bottom w:val="none" w:sz="0" w:space="0" w:color="auto"/>
                        <w:right w:val="none" w:sz="0" w:space="0" w:color="auto"/>
                      </w:divBdr>
                      <w:divsChild>
                        <w:div w:id="26538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24671">
                  <w:marLeft w:val="0"/>
                  <w:marRight w:val="0"/>
                  <w:marTop w:val="0"/>
                  <w:marBottom w:val="0"/>
                  <w:divBdr>
                    <w:top w:val="none" w:sz="0" w:space="0" w:color="auto"/>
                    <w:left w:val="none" w:sz="0" w:space="0" w:color="auto"/>
                    <w:bottom w:val="none" w:sz="0" w:space="0" w:color="auto"/>
                    <w:right w:val="none" w:sz="0" w:space="0" w:color="auto"/>
                  </w:divBdr>
                  <w:divsChild>
                    <w:div w:id="1821730679">
                      <w:marLeft w:val="0"/>
                      <w:marRight w:val="0"/>
                      <w:marTop w:val="0"/>
                      <w:marBottom w:val="0"/>
                      <w:divBdr>
                        <w:top w:val="none" w:sz="0" w:space="0" w:color="auto"/>
                        <w:left w:val="none" w:sz="0" w:space="0" w:color="auto"/>
                        <w:bottom w:val="none" w:sz="0" w:space="0" w:color="auto"/>
                        <w:right w:val="none" w:sz="0" w:space="0" w:color="auto"/>
                      </w:divBdr>
                      <w:divsChild>
                        <w:div w:id="2104450857">
                          <w:marLeft w:val="0"/>
                          <w:marRight w:val="0"/>
                          <w:marTop w:val="0"/>
                          <w:marBottom w:val="0"/>
                          <w:divBdr>
                            <w:top w:val="none" w:sz="0" w:space="0" w:color="auto"/>
                            <w:left w:val="none" w:sz="0" w:space="0" w:color="auto"/>
                            <w:bottom w:val="none" w:sz="0" w:space="0" w:color="auto"/>
                            <w:right w:val="none" w:sz="0" w:space="0" w:color="auto"/>
                          </w:divBdr>
                          <w:divsChild>
                            <w:div w:id="1275282386">
                              <w:marLeft w:val="0"/>
                              <w:marRight w:val="0"/>
                              <w:marTop w:val="0"/>
                              <w:marBottom w:val="0"/>
                              <w:divBdr>
                                <w:top w:val="none" w:sz="0" w:space="0" w:color="auto"/>
                                <w:left w:val="none" w:sz="0" w:space="0" w:color="auto"/>
                                <w:bottom w:val="none" w:sz="0" w:space="0" w:color="auto"/>
                                <w:right w:val="none" w:sz="0" w:space="0" w:color="auto"/>
                              </w:divBdr>
                              <w:divsChild>
                                <w:div w:id="201306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692408">
                          <w:marLeft w:val="0"/>
                          <w:marRight w:val="0"/>
                          <w:marTop w:val="0"/>
                          <w:marBottom w:val="0"/>
                          <w:divBdr>
                            <w:top w:val="none" w:sz="0" w:space="0" w:color="auto"/>
                            <w:left w:val="none" w:sz="0" w:space="0" w:color="auto"/>
                            <w:bottom w:val="none" w:sz="0" w:space="0" w:color="auto"/>
                            <w:right w:val="none" w:sz="0" w:space="0" w:color="auto"/>
                          </w:divBdr>
                          <w:divsChild>
                            <w:div w:id="986205706">
                              <w:marLeft w:val="0"/>
                              <w:marRight w:val="0"/>
                              <w:marTop w:val="0"/>
                              <w:marBottom w:val="0"/>
                              <w:divBdr>
                                <w:top w:val="none" w:sz="0" w:space="0" w:color="auto"/>
                                <w:left w:val="none" w:sz="0" w:space="0" w:color="auto"/>
                                <w:bottom w:val="none" w:sz="0" w:space="0" w:color="auto"/>
                                <w:right w:val="none" w:sz="0" w:space="0" w:color="auto"/>
                              </w:divBdr>
                              <w:divsChild>
                                <w:div w:id="973827752">
                                  <w:marLeft w:val="0"/>
                                  <w:marRight w:val="0"/>
                                  <w:marTop w:val="0"/>
                                  <w:marBottom w:val="0"/>
                                  <w:divBdr>
                                    <w:top w:val="none" w:sz="0" w:space="0" w:color="auto"/>
                                    <w:left w:val="none" w:sz="0" w:space="0" w:color="auto"/>
                                    <w:bottom w:val="none" w:sz="0" w:space="0" w:color="auto"/>
                                    <w:right w:val="none" w:sz="0" w:space="0" w:color="auto"/>
                                  </w:divBdr>
                                </w:div>
                              </w:divsChild>
                            </w:div>
                            <w:div w:id="1192382771">
                              <w:marLeft w:val="0"/>
                              <w:marRight w:val="0"/>
                              <w:marTop w:val="0"/>
                              <w:marBottom w:val="0"/>
                              <w:divBdr>
                                <w:top w:val="none" w:sz="0" w:space="0" w:color="auto"/>
                                <w:left w:val="none" w:sz="0" w:space="0" w:color="auto"/>
                                <w:bottom w:val="none" w:sz="0" w:space="0" w:color="auto"/>
                                <w:right w:val="none" w:sz="0" w:space="0" w:color="auto"/>
                              </w:divBdr>
                              <w:divsChild>
                                <w:div w:id="95239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083561">
                          <w:marLeft w:val="0"/>
                          <w:marRight w:val="0"/>
                          <w:marTop w:val="0"/>
                          <w:marBottom w:val="0"/>
                          <w:divBdr>
                            <w:top w:val="none" w:sz="0" w:space="0" w:color="auto"/>
                            <w:left w:val="none" w:sz="0" w:space="0" w:color="auto"/>
                            <w:bottom w:val="none" w:sz="0" w:space="0" w:color="auto"/>
                            <w:right w:val="none" w:sz="0" w:space="0" w:color="auto"/>
                          </w:divBdr>
                          <w:divsChild>
                            <w:div w:id="548496136">
                              <w:marLeft w:val="0"/>
                              <w:marRight w:val="0"/>
                              <w:marTop w:val="0"/>
                              <w:marBottom w:val="0"/>
                              <w:divBdr>
                                <w:top w:val="none" w:sz="0" w:space="0" w:color="auto"/>
                                <w:left w:val="none" w:sz="0" w:space="0" w:color="auto"/>
                                <w:bottom w:val="none" w:sz="0" w:space="0" w:color="auto"/>
                                <w:right w:val="none" w:sz="0" w:space="0" w:color="auto"/>
                              </w:divBdr>
                              <w:divsChild>
                                <w:div w:id="431777346">
                                  <w:marLeft w:val="0"/>
                                  <w:marRight w:val="0"/>
                                  <w:marTop w:val="0"/>
                                  <w:marBottom w:val="0"/>
                                  <w:divBdr>
                                    <w:top w:val="none" w:sz="0" w:space="0" w:color="auto"/>
                                    <w:left w:val="none" w:sz="0" w:space="0" w:color="auto"/>
                                    <w:bottom w:val="none" w:sz="0" w:space="0" w:color="auto"/>
                                    <w:right w:val="none" w:sz="0" w:space="0" w:color="auto"/>
                                  </w:divBdr>
                                </w:div>
                              </w:divsChild>
                            </w:div>
                            <w:div w:id="1464883540">
                              <w:marLeft w:val="0"/>
                              <w:marRight w:val="0"/>
                              <w:marTop w:val="0"/>
                              <w:marBottom w:val="0"/>
                              <w:divBdr>
                                <w:top w:val="none" w:sz="0" w:space="0" w:color="auto"/>
                                <w:left w:val="none" w:sz="0" w:space="0" w:color="auto"/>
                                <w:bottom w:val="none" w:sz="0" w:space="0" w:color="auto"/>
                                <w:right w:val="none" w:sz="0" w:space="0" w:color="auto"/>
                              </w:divBdr>
                              <w:divsChild>
                                <w:div w:id="5733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02009">
                          <w:marLeft w:val="0"/>
                          <w:marRight w:val="0"/>
                          <w:marTop w:val="0"/>
                          <w:marBottom w:val="0"/>
                          <w:divBdr>
                            <w:top w:val="none" w:sz="0" w:space="0" w:color="auto"/>
                            <w:left w:val="none" w:sz="0" w:space="0" w:color="auto"/>
                            <w:bottom w:val="none" w:sz="0" w:space="0" w:color="auto"/>
                            <w:right w:val="none" w:sz="0" w:space="0" w:color="auto"/>
                          </w:divBdr>
                          <w:divsChild>
                            <w:div w:id="1382364400">
                              <w:marLeft w:val="0"/>
                              <w:marRight w:val="0"/>
                              <w:marTop w:val="0"/>
                              <w:marBottom w:val="0"/>
                              <w:divBdr>
                                <w:top w:val="none" w:sz="0" w:space="0" w:color="auto"/>
                                <w:left w:val="none" w:sz="0" w:space="0" w:color="auto"/>
                                <w:bottom w:val="none" w:sz="0" w:space="0" w:color="auto"/>
                                <w:right w:val="none" w:sz="0" w:space="0" w:color="auto"/>
                              </w:divBdr>
                              <w:divsChild>
                                <w:div w:id="1565292765">
                                  <w:marLeft w:val="0"/>
                                  <w:marRight w:val="0"/>
                                  <w:marTop w:val="0"/>
                                  <w:marBottom w:val="0"/>
                                  <w:divBdr>
                                    <w:top w:val="none" w:sz="0" w:space="0" w:color="auto"/>
                                    <w:left w:val="none" w:sz="0" w:space="0" w:color="auto"/>
                                    <w:bottom w:val="none" w:sz="0" w:space="0" w:color="auto"/>
                                    <w:right w:val="none" w:sz="0" w:space="0" w:color="auto"/>
                                  </w:divBdr>
                                </w:div>
                              </w:divsChild>
                            </w:div>
                            <w:div w:id="1293246436">
                              <w:marLeft w:val="0"/>
                              <w:marRight w:val="0"/>
                              <w:marTop w:val="0"/>
                              <w:marBottom w:val="0"/>
                              <w:divBdr>
                                <w:top w:val="none" w:sz="0" w:space="0" w:color="auto"/>
                                <w:left w:val="none" w:sz="0" w:space="0" w:color="auto"/>
                                <w:bottom w:val="none" w:sz="0" w:space="0" w:color="auto"/>
                                <w:right w:val="none" w:sz="0" w:space="0" w:color="auto"/>
                              </w:divBdr>
                              <w:divsChild>
                                <w:div w:id="164955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86092">
                          <w:marLeft w:val="0"/>
                          <w:marRight w:val="0"/>
                          <w:marTop w:val="0"/>
                          <w:marBottom w:val="0"/>
                          <w:divBdr>
                            <w:top w:val="none" w:sz="0" w:space="0" w:color="auto"/>
                            <w:left w:val="none" w:sz="0" w:space="0" w:color="auto"/>
                            <w:bottom w:val="none" w:sz="0" w:space="0" w:color="auto"/>
                            <w:right w:val="none" w:sz="0" w:space="0" w:color="auto"/>
                          </w:divBdr>
                          <w:divsChild>
                            <w:div w:id="2085254415">
                              <w:marLeft w:val="0"/>
                              <w:marRight w:val="0"/>
                              <w:marTop w:val="0"/>
                              <w:marBottom w:val="0"/>
                              <w:divBdr>
                                <w:top w:val="none" w:sz="0" w:space="0" w:color="auto"/>
                                <w:left w:val="none" w:sz="0" w:space="0" w:color="auto"/>
                                <w:bottom w:val="none" w:sz="0" w:space="0" w:color="auto"/>
                                <w:right w:val="none" w:sz="0" w:space="0" w:color="auto"/>
                              </w:divBdr>
                              <w:divsChild>
                                <w:div w:id="1509061039">
                                  <w:marLeft w:val="0"/>
                                  <w:marRight w:val="0"/>
                                  <w:marTop w:val="0"/>
                                  <w:marBottom w:val="0"/>
                                  <w:divBdr>
                                    <w:top w:val="none" w:sz="0" w:space="0" w:color="auto"/>
                                    <w:left w:val="none" w:sz="0" w:space="0" w:color="auto"/>
                                    <w:bottom w:val="none" w:sz="0" w:space="0" w:color="auto"/>
                                    <w:right w:val="none" w:sz="0" w:space="0" w:color="auto"/>
                                  </w:divBdr>
                                </w:div>
                              </w:divsChild>
                            </w:div>
                            <w:div w:id="786120833">
                              <w:marLeft w:val="0"/>
                              <w:marRight w:val="0"/>
                              <w:marTop w:val="0"/>
                              <w:marBottom w:val="0"/>
                              <w:divBdr>
                                <w:top w:val="none" w:sz="0" w:space="0" w:color="auto"/>
                                <w:left w:val="none" w:sz="0" w:space="0" w:color="auto"/>
                                <w:bottom w:val="none" w:sz="0" w:space="0" w:color="auto"/>
                                <w:right w:val="none" w:sz="0" w:space="0" w:color="auto"/>
                              </w:divBdr>
                              <w:divsChild>
                                <w:div w:id="112870269">
                                  <w:marLeft w:val="0"/>
                                  <w:marRight w:val="0"/>
                                  <w:marTop w:val="0"/>
                                  <w:marBottom w:val="0"/>
                                  <w:divBdr>
                                    <w:top w:val="none" w:sz="0" w:space="0" w:color="auto"/>
                                    <w:left w:val="none" w:sz="0" w:space="0" w:color="auto"/>
                                    <w:bottom w:val="none" w:sz="0" w:space="0" w:color="auto"/>
                                    <w:right w:val="none" w:sz="0" w:space="0" w:color="auto"/>
                                  </w:divBdr>
                                  <w:divsChild>
                                    <w:div w:id="1984579976">
                                      <w:marLeft w:val="0"/>
                                      <w:marRight w:val="0"/>
                                      <w:marTop w:val="0"/>
                                      <w:marBottom w:val="0"/>
                                      <w:divBdr>
                                        <w:top w:val="none" w:sz="0" w:space="0" w:color="auto"/>
                                        <w:left w:val="none" w:sz="0" w:space="0" w:color="auto"/>
                                        <w:bottom w:val="none" w:sz="0" w:space="0" w:color="auto"/>
                                        <w:right w:val="none" w:sz="0" w:space="0" w:color="auto"/>
                                      </w:divBdr>
                                      <w:divsChild>
                                        <w:div w:id="2090882558">
                                          <w:marLeft w:val="0"/>
                                          <w:marRight w:val="0"/>
                                          <w:marTop w:val="0"/>
                                          <w:marBottom w:val="0"/>
                                          <w:divBdr>
                                            <w:top w:val="none" w:sz="0" w:space="0" w:color="auto"/>
                                            <w:left w:val="none" w:sz="0" w:space="0" w:color="auto"/>
                                            <w:bottom w:val="none" w:sz="0" w:space="0" w:color="auto"/>
                                            <w:right w:val="none" w:sz="0" w:space="0" w:color="auto"/>
                                          </w:divBdr>
                                        </w:div>
                                        <w:div w:id="1371759515">
                                          <w:marLeft w:val="0"/>
                                          <w:marRight w:val="0"/>
                                          <w:marTop w:val="0"/>
                                          <w:marBottom w:val="0"/>
                                          <w:divBdr>
                                            <w:top w:val="none" w:sz="0" w:space="0" w:color="auto"/>
                                            <w:left w:val="none" w:sz="0" w:space="0" w:color="auto"/>
                                            <w:bottom w:val="none" w:sz="0" w:space="0" w:color="auto"/>
                                            <w:right w:val="none" w:sz="0" w:space="0" w:color="auto"/>
                                          </w:divBdr>
                                        </w:div>
                                        <w:div w:id="1486626689">
                                          <w:marLeft w:val="0"/>
                                          <w:marRight w:val="0"/>
                                          <w:marTop w:val="0"/>
                                          <w:marBottom w:val="0"/>
                                          <w:divBdr>
                                            <w:top w:val="none" w:sz="0" w:space="0" w:color="auto"/>
                                            <w:left w:val="none" w:sz="0" w:space="0" w:color="auto"/>
                                            <w:bottom w:val="none" w:sz="0" w:space="0" w:color="auto"/>
                                            <w:right w:val="none" w:sz="0" w:space="0" w:color="auto"/>
                                          </w:divBdr>
                                        </w:div>
                                        <w:div w:id="562495674">
                                          <w:marLeft w:val="0"/>
                                          <w:marRight w:val="0"/>
                                          <w:marTop w:val="0"/>
                                          <w:marBottom w:val="0"/>
                                          <w:divBdr>
                                            <w:top w:val="none" w:sz="0" w:space="0" w:color="auto"/>
                                            <w:left w:val="none" w:sz="0" w:space="0" w:color="auto"/>
                                            <w:bottom w:val="none" w:sz="0" w:space="0" w:color="auto"/>
                                            <w:right w:val="none" w:sz="0" w:space="0" w:color="auto"/>
                                          </w:divBdr>
                                        </w:div>
                                        <w:div w:id="1632440086">
                                          <w:marLeft w:val="0"/>
                                          <w:marRight w:val="0"/>
                                          <w:marTop w:val="0"/>
                                          <w:marBottom w:val="0"/>
                                          <w:divBdr>
                                            <w:top w:val="none" w:sz="0" w:space="0" w:color="auto"/>
                                            <w:left w:val="none" w:sz="0" w:space="0" w:color="auto"/>
                                            <w:bottom w:val="none" w:sz="0" w:space="0" w:color="auto"/>
                                            <w:right w:val="none" w:sz="0" w:space="0" w:color="auto"/>
                                          </w:divBdr>
                                        </w:div>
                                        <w:div w:id="126099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9730400">
          <w:marLeft w:val="0"/>
          <w:marRight w:val="0"/>
          <w:marTop w:val="0"/>
          <w:marBottom w:val="0"/>
          <w:divBdr>
            <w:top w:val="none" w:sz="0" w:space="0" w:color="auto"/>
            <w:left w:val="none" w:sz="0" w:space="0" w:color="auto"/>
            <w:bottom w:val="none" w:sz="0" w:space="0" w:color="auto"/>
            <w:right w:val="none" w:sz="0" w:space="0" w:color="auto"/>
          </w:divBdr>
          <w:divsChild>
            <w:div w:id="100435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Hagge%20M%5BAuthor%5D&amp;cauthor=true&amp;cauthor_uid=25500193" TargetMode="External"/><Relationship Id="rId13" Type="http://schemas.openxmlformats.org/officeDocument/2006/relationships/hyperlink" Target="https://www.ncbi.nlm.nih.gov/pubmed/?term=Hopfengaertner%20R%5BAuthor%5D&amp;cauthor=true&amp;cauthor_uid=25500193" TargetMode="External"/><Relationship Id="rId3" Type="http://schemas.openxmlformats.org/officeDocument/2006/relationships/settings" Target="settings.xml"/><Relationship Id="rId7" Type="http://schemas.openxmlformats.org/officeDocument/2006/relationships/hyperlink" Target="https://www.ncbi.nlm.nih.gov/pubmed/?term=Rampp%20S%5BAuthor%5D&amp;cauthor=true&amp;cauthor_uid=25500193" TargetMode="External"/><Relationship Id="rId12" Type="http://schemas.openxmlformats.org/officeDocument/2006/relationships/hyperlink" Target="https://www.ncbi.nlm.nih.gov/pubmed/?term=Mad%C5%BEar%20D%5BAuthor%5D&amp;cauthor=true&amp;cauthor_uid=2550019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ncbi.nlm.nih.gov/pubmed/?term=Groemer%20T%5BAuthor%5D&amp;cauthor=true&amp;cauthor_uid=25500193" TargetMode="External"/><Relationship Id="rId11" Type="http://schemas.openxmlformats.org/officeDocument/2006/relationships/hyperlink" Target="https://www.ncbi.nlm.nih.gov/pubmed/?term=Schwab%20S%5BAuthor%5D&amp;cauthor=true&amp;cauthor_uid=25500193" TargetMode="External"/><Relationship Id="rId5" Type="http://schemas.openxmlformats.org/officeDocument/2006/relationships/hyperlink" Target="https://www.ncbi.nlm.nih.gov/pubmed/?term=Gollwitzer%20S%5BAuthor%5D&amp;cauthor=true&amp;cauthor_uid=25500193" TargetMode="External"/><Relationship Id="rId15" Type="http://schemas.openxmlformats.org/officeDocument/2006/relationships/hyperlink" Target="https://www.ncbi.nlm.nih.gov/pubmed/25500193" TargetMode="External"/><Relationship Id="rId10" Type="http://schemas.openxmlformats.org/officeDocument/2006/relationships/hyperlink" Target="https://www.ncbi.nlm.nih.gov/pubmed/?term=Huttner%20HB%5BAuthor%5D&amp;cauthor=true&amp;cauthor_uid=25500193" TargetMode="External"/><Relationship Id="rId4" Type="http://schemas.openxmlformats.org/officeDocument/2006/relationships/webSettings" Target="webSettings.xml"/><Relationship Id="rId9" Type="http://schemas.openxmlformats.org/officeDocument/2006/relationships/hyperlink" Target="https://www.ncbi.nlm.nih.gov/pubmed/?term=Olmes%20D%5BAuthor%5D&amp;cauthor=true&amp;cauthor_uid=25500193" TargetMode="External"/><Relationship Id="rId14" Type="http://schemas.openxmlformats.org/officeDocument/2006/relationships/hyperlink" Target="https://www.ncbi.nlm.nih.gov/pubmed/?term=Hamer%20HM%5BAuthor%5D&amp;cauthor=true&amp;cauthor_uid=255001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Griffin</dc:creator>
  <cp:keywords/>
  <dc:description/>
  <cp:lastModifiedBy>Dr. Griffin</cp:lastModifiedBy>
  <cp:revision>1</cp:revision>
  <dcterms:created xsi:type="dcterms:W3CDTF">2019-08-03T14:58:00Z</dcterms:created>
  <dcterms:modified xsi:type="dcterms:W3CDTF">2019-08-03T15:00:00Z</dcterms:modified>
</cp:coreProperties>
</file>